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left="-90" w:right="-90"/>
        <w:jc w:val="center"/>
        <w:rPr>
          <w:rFonts w:ascii="바탕" w:eastAsia="바탕" w:hAnsi="바탕" w:cs="굴림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b/>
          <w:bCs/>
          <w:color w:val="000000"/>
          <w:spacing w:val="-24"/>
          <w:kern w:val="0"/>
          <w:sz w:val="38"/>
          <w:szCs w:val="38"/>
        </w:rPr>
        <w:t>‘미래 성장 위한 전략적 투자 성과 가시화’</w:t>
      </w:r>
    </w:p>
    <w:p w:rsidR="00E63F47" w:rsidRPr="00E63F47" w:rsidRDefault="00E63F47" w:rsidP="00E63F47">
      <w:pPr>
        <w:widowControl/>
        <w:wordWrap/>
        <w:autoSpaceDE/>
        <w:autoSpaceDN/>
        <w:spacing w:after="240" w:line="240" w:lineRule="auto"/>
        <w:ind w:left="-90" w:right="-90"/>
        <w:jc w:val="center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b/>
          <w:bCs/>
          <w:color w:val="000000"/>
          <w:spacing w:val="-24"/>
          <w:kern w:val="0"/>
          <w:sz w:val="46"/>
          <w:szCs w:val="46"/>
        </w:rPr>
        <w:t xml:space="preserve">㈜신세계 3분기 매출 ∙ </w:t>
      </w:r>
      <w:proofErr w:type="spellStart"/>
      <w:r w:rsidRPr="00E63F47">
        <w:rPr>
          <w:rFonts w:ascii="맑은 고딕" w:eastAsia="맑은 고딕" w:hAnsi="맑은 고딕" w:cs="굴림" w:hint="eastAsia"/>
          <w:b/>
          <w:bCs/>
          <w:color w:val="000000"/>
          <w:spacing w:val="-24"/>
          <w:kern w:val="0"/>
          <w:sz w:val="46"/>
          <w:szCs w:val="46"/>
        </w:rPr>
        <w:t>영업익</w:t>
      </w:r>
      <w:proofErr w:type="spellEnd"/>
      <w:r w:rsidRPr="00E63F47">
        <w:rPr>
          <w:rFonts w:ascii="맑은 고딕" w:eastAsia="맑은 고딕" w:hAnsi="맑은 고딕" w:cs="굴림" w:hint="eastAsia"/>
          <w:b/>
          <w:bCs/>
          <w:color w:val="000000"/>
          <w:spacing w:val="-24"/>
          <w:kern w:val="0"/>
          <w:sz w:val="46"/>
          <w:szCs w:val="46"/>
        </w:rPr>
        <w:t xml:space="preserve"> 전년대비 신장</w:t>
      </w:r>
    </w:p>
    <w:p w:rsidR="00E63F47" w:rsidRPr="00E63F47" w:rsidRDefault="00E63F47" w:rsidP="00E63F47">
      <w:pPr>
        <w:widowControl/>
        <w:wordWrap/>
        <w:autoSpaceDE/>
        <w:autoSpaceDN/>
        <w:spacing w:after="90" w:line="214" w:lineRule="atLeast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 xml:space="preserve">- ㈜신세계, 3분기 연결기준 </w:t>
      </w:r>
      <w:proofErr w:type="spellStart"/>
      <w:r w:rsidRPr="00E63F47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총매출</w:t>
      </w:r>
      <w:proofErr w:type="spellEnd"/>
      <w:r w:rsidRPr="00E63F47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 xml:space="preserve"> 2조 8,143원 · 영업이익 998억원 기록</w:t>
      </w:r>
    </w:p>
    <w:p w:rsidR="00E63F47" w:rsidRPr="00E63F47" w:rsidRDefault="00E63F47" w:rsidP="00E63F47">
      <w:pPr>
        <w:widowControl/>
        <w:wordWrap/>
        <w:autoSpaceDE/>
        <w:autoSpaceDN/>
        <w:spacing w:after="90" w:line="214" w:lineRule="atLeast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- 백화점 사업, 매출 성장 및 영업이익 개선하며 전략적 투자 성과 가시화</w:t>
      </w:r>
    </w:p>
    <w:p w:rsidR="00E63F47" w:rsidRPr="00E63F47" w:rsidRDefault="00E63F47" w:rsidP="00E63F47">
      <w:pPr>
        <w:widowControl/>
        <w:wordWrap/>
        <w:autoSpaceDE/>
        <w:autoSpaceDN/>
        <w:spacing w:after="90" w:line="214" w:lineRule="atLeast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- 패션 수요 증가, 각 사별 포트폴리오 재정비하며 실적 반등 기대감 높여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㈜신세계가 3분기 매출 신장과 영업이익 개선을 모두 이뤄내며 양호한 성적표를 받았다.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3분기 연결 기준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총매출액은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전년 동기대비 3.9% 증가한 2조 8,143억원, 영업이익은 68억 늘어난 998억원을 기록했다.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백화점 사업은 공간 혁신, 새로운 고객 경험 제안 등 차별화된 경쟁력을 바탕으로 3분기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총매출액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1조 7,117억원을 기록, 전년 동기 대비 1.4% 신장했다.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0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※ ㈜신세계 및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광주·대구·대전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등 별도 법인 합산 (신세계사이먼 운영 프리미엄아울렛 제외)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미래 준비를 위한 전략적 투자 지속으로 영업이익은 840억원(△43억)을 기록, 전년 동기 대비 소폭 감소했지만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매분기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감소폭을 줄여가는 수익성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개선흐름을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보이며 투자의 성과가 점점 가시화되는 것으로 분석된다.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0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※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영업익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감소폭: 1분기 -58억, 2분기 -109억, 3분기 -43억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신세계백화점은 지난해 착수한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강남점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식품관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리뉴얼을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올해 8월 완료하며 업계 최대 규모이자 차별화된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식품관을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선보였고, 본점,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강남점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,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센텀시티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,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대구신세계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등 주요 점포의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해외패션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· 패션 카테고리 역시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새단장하며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공간 혁신을 이어가고 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아울러 프리미엄 여행 사업 ‘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비아신세계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’, 편리하게 온라인 쇼핑을 즐길 수 있는 ‘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비욘드신세계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’ 등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온·오프라인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공간을 넘나드는 고객 경험을 확장하며 본업 경쟁력의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초격차를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이어가고 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럭셔리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주얼리∙워치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카테고리의 고성장과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가전∙가구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매출 호조, 여기에 급격히 하락한 기온으로 인해 높아진 패션 수요에 힘입어 신세계백화점의 10월 매출은 전년 동월대비 10% 성장을 기록하고 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또한 남은 4분기 본점 ‘더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리저브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(舊 본관)’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를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강남점과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어깨를 나란히 하는 국내 최고 수준의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력셔리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백화점으로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리뉴얼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오픈하고, SSG푸드마켓 청담 역시 프리미엄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식품관과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트렌디한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콘텐츠를 가득 담은 공간으로 재탄생할 예정이다.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신세계백화점은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리뉴얼을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통한 신규 고객 유입과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온·오프라인을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넘나드는 고객 경험 확장 등을 통해 전국 1등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강남점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, 3위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센텀시티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등 압도적인 경쟁력을 유지함과 동시에 </w:t>
      </w:r>
      <w:bookmarkStart w:id="0" w:name="_GoBack"/>
      <w:bookmarkEnd w:id="0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본점,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대구신세계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,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대전신세계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 광주신세계 등도 거점 점포로서 시장 지배력을 강화해 나간다는 계획이다.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신세계인터내셔날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,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신세계디에프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등 연결 자회사들도 선방했다.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신세계인터내셔날은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3분기 매출액 3,104억원(+4.9%), 영업손실 20억원(-41억원)을 기록했다.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고물가와 내수경기 침체에도 탄탄한 브랜드 포트폴리오를 갖춘 수입 패션 부문은 신규 유망 브랜드 유치 등을 통해 매출이 12.1% 성장했다.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코스메틱부문은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수입과 자체 브랜드가 고르게 성장하며 역대 3분기 최대 매출액인 1,111억원(+16.7%)를 기록했다. 계절적 비수기로 꼽히는 3분기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코스메틱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매출액이 1,000억원을 넘긴 건 올해가 처음이다.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영업이익은 국내 패션의 매출 감소 영향과 함께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코스메틱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사업의 글로벌 투자가 증가해 손실을 기록했으나 10월부터 시작된 이른 추위 등 패션 수요가 늘어남에 따라 다가오는 4분기부터 실적 개선이 이뤄질 것으로 기대하고 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신세계디에프는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매출액 5,388억원(+14.2%), 영업손실은 56억원(+106억원)을 기록했다.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left="195" w:right="15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성수기 시즌 출입국 객수 증가로 매출이 지난해보다 증가했으며 영업이익도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송객수수료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개선 등 비용효율화를 노력을 통해 큰 폭으로 개선했다.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신세계센트럴은 호텔 등 임대 수익의 증가로 매출액 981억(+3.9%), 영업이익 276억원(+17억원) 모두 전년보다 늘었다.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신세계라이브쇼핑은 매출액 846억원(+9.9%), 영업이익 24억원(+11억원)을 기록했다.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블루핏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등 자체 패션 상품과 관계사 연계 상품,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뷰티</w:t>
      </w:r>
      <w:r w:rsidRPr="00E63F47">
        <w:rPr>
          <w:rFonts w:ascii="Times New Roman" w:eastAsia="바탕" w:hAnsi="Times New Roman" w:cs="Times New Roman"/>
          <w:color w:val="000000"/>
          <w:kern w:val="0"/>
          <w:sz w:val="24"/>
          <w:szCs w:val="24"/>
        </w:rPr>
        <w:t>ㆍ</w:t>
      </w: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건강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장르의 실적 호조로 매출액과 영업이익이 지난해보다 늘어났다.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신세계라이브쇼핑은 지난달 자체 남성복 브랜드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신세계맨즈컬렉션을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론칭하고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해외 브랜드 라이선스를 지속적으로 강화하는 등 차별화된 상품으로 고객 접점을 넓히며 성장에 더욱 힘쓸 예정이다.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신세계까사는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매출액 639억원(-6.9%), 영업손실 4억원(-6억원)을 기록했다.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장기화되는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건설부동산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경기의 침체 속 신규 입주 물량의 축소 등으로 매출액은 지난해보다 소폭 줄었으며 환율 변동으로 인한 자재 값 상승은 영업손실로 이어졌다.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신세계까사는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올 하반기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마테라소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프리미엄 라인 출시와 함께 주방 제작 가구 시장에도 진출하며 향후 실적 반등에 나선다.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㈜신세계 관계자는 “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중·장기적인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관점에서 지속적인 투자를 통해 본업 경쟁력을 강화해왔고, 그 성과가 가시화되고 있는 것으로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보인다”며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“향후 꾸준한 혁신과 인천공항 DF2 반납, 자주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사업재편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등 사별 경쟁력 강화 노력을 통해 견조한 성장세를 이어갈 </w:t>
      </w:r>
      <w:proofErr w:type="spellStart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것”이라고</w:t>
      </w:r>
      <w:proofErr w:type="spellEnd"/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말했다.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 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 w:firstLine="24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b/>
          <w:bCs/>
          <w:color w:val="000000"/>
          <w:kern w:val="0"/>
          <w:sz w:val="24"/>
          <w:szCs w:val="24"/>
        </w:rPr>
        <w:t>[㈜신세계 25년 3분기 실적]</w:t>
      </w:r>
    </w:p>
    <w:tbl>
      <w:tblPr>
        <w:tblW w:w="0" w:type="auto"/>
        <w:tblInd w:w="4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0"/>
        <w:gridCol w:w="2145"/>
        <w:gridCol w:w="2145"/>
        <w:gridCol w:w="2145"/>
      </w:tblGrid>
      <w:tr w:rsidR="00E63F47" w:rsidRPr="00E63F47" w:rsidTr="00E63F47">
        <w:trPr>
          <w:trHeight w:val="390"/>
        </w:trPr>
        <w:tc>
          <w:tcPr>
            <w:tcW w:w="21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18" w:space="0" w:color="FF0000"/>
            </w:tcBorders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center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b/>
                <w:bCs/>
                <w:kern w:val="0"/>
                <w:sz w:val="24"/>
                <w:szCs w:val="24"/>
              </w:rPr>
              <w:t>구 분</w:t>
            </w:r>
          </w:p>
        </w:tc>
        <w:tc>
          <w:tcPr>
            <w:tcW w:w="2145" w:type="dxa"/>
            <w:tcBorders>
              <w:top w:val="single" w:sz="18" w:space="0" w:color="FF0000"/>
              <w:left w:val="nil"/>
              <w:bottom w:val="single" w:sz="6" w:space="0" w:color="000000"/>
              <w:right w:val="single" w:sz="18" w:space="0" w:color="FF0000"/>
            </w:tcBorders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center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b/>
                <w:bCs/>
                <w:kern w:val="0"/>
                <w:sz w:val="24"/>
                <w:szCs w:val="24"/>
              </w:rPr>
              <w:t>2025 3Q</w:t>
            </w:r>
          </w:p>
        </w:tc>
        <w:tc>
          <w:tcPr>
            <w:tcW w:w="21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center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b/>
                <w:bCs/>
                <w:kern w:val="0"/>
                <w:sz w:val="24"/>
                <w:szCs w:val="24"/>
              </w:rPr>
              <w:t>2024 3Q</w:t>
            </w:r>
          </w:p>
        </w:tc>
        <w:tc>
          <w:tcPr>
            <w:tcW w:w="214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center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b/>
                <w:bCs/>
                <w:kern w:val="0"/>
                <w:sz w:val="24"/>
                <w:szCs w:val="24"/>
              </w:rPr>
              <w:t>증 감</w:t>
            </w:r>
          </w:p>
        </w:tc>
      </w:tr>
      <w:tr w:rsidR="00E63F47" w:rsidRPr="00E63F47" w:rsidTr="00E63F47">
        <w:trPr>
          <w:trHeight w:val="990"/>
        </w:trPr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single" w:sz="18" w:space="0" w:color="FF0000"/>
            </w:tcBorders>
            <w:vAlign w:val="center"/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center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총 매 출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center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연 결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240" w:line="240" w:lineRule="auto"/>
              <w:ind w:right="150"/>
              <w:jc w:val="center"/>
              <w:rPr>
                <w:rFonts w:ascii="바탕" w:eastAsia="바탕" w:hAnsi="바탕" w:cs="굴림" w:hint="eastAsia"/>
                <w:kern w:val="0"/>
                <w:szCs w:val="20"/>
              </w:rPr>
            </w:pPr>
            <w:proofErr w:type="spellStart"/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백화점사업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18" w:space="0" w:color="FF0000"/>
            </w:tcBorders>
            <w:vAlign w:val="center"/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 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2조 8,143억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24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1조 7,117억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 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2조 7,089억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24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1조 6,877억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 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3.9%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24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1.4%</w:t>
            </w:r>
          </w:p>
        </w:tc>
      </w:tr>
      <w:tr w:rsidR="00E63F47" w:rsidRPr="00E63F47" w:rsidTr="00E63F47">
        <w:trPr>
          <w:trHeight w:val="780"/>
        </w:trPr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single" w:sz="18" w:space="0" w:color="FF0000"/>
            </w:tcBorders>
            <w:vAlign w:val="center"/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center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순 매 출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center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연 결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240" w:line="240" w:lineRule="auto"/>
              <w:ind w:right="150"/>
              <w:jc w:val="center"/>
              <w:rPr>
                <w:rFonts w:ascii="바탕" w:eastAsia="바탕" w:hAnsi="바탕" w:cs="굴림" w:hint="eastAsia"/>
                <w:kern w:val="0"/>
                <w:szCs w:val="20"/>
              </w:rPr>
            </w:pPr>
            <w:proofErr w:type="spellStart"/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백화점사업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18" w:space="0" w:color="FF0000"/>
            </w:tcBorders>
            <w:vAlign w:val="center"/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 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1조 6,361억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24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6,227억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 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1조 5,401억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24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6,195억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 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6.2%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24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0.5%</w:t>
            </w:r>
          </w:p>
        </w:tc>
      </w:tr>
      <w:tr w:rsidR="00E63F47" w:rsidRPr="00E63F47" w:rsidTr="00E63F47">
        <w:trPr>
          <w:trHeight w:val="780"/>
        </w:trPr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single" w:sz="18" w:space="0" w:color="FF0000"/>
            </w:tcBorders>
            <w:vAlign w:val="center"/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center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영업이익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center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연 결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240" w:line="240" w:lineRule="auto"/>
              <w:ind w:right="150"/>
              <w:jc w:val="center"/>
              <w:rPr>
                <w:rFonts w:ascii="바탕" w:eastAsia="바탕" w:hAnsi="바탕" w:cs="굴림" w:hint="eastAsia"/>
                <w:kern w:val="0"/>
                <w:szCs w:val="20"/>
              </w:rPr>
            </w:pPr>
            <w:proofErr w:type="spellStart"/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백화점사업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single" w:sz="18" w:space="0" w:color="FF0000"/>
              <w:right w:val="single" w:sz="18" w:space="0" w:color="FF0000"/>
            </w:tcBorders>
            <w:vAlign w:val="center"/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 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998억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24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840억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 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930억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24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883억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 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7.3%</w:t>
            </w:r>
          </w:p>
          <w:p w:rsidR="00E63F47" w:rsidRPr="00E63F47" w:rsidRDefault="00E63F47" w:rsidP="00E63F47">
            <w:pPr>
              <w:widowControl/>
              <w:wordWrap/>
              <w:autoSpaceDE/>
              <w:autoSpaceDN/>
              <w:spacing w:after="240" w:line="240" w:lineRule="auto"/>
              <w:ind w:right="150"/>
              <w:jc w:val="right"/>
              <w:rPr>
                <w:rFonts w:ascii="바탕" w:eastAsia="바탕" w:hAnsi="바탕" w:cs="굴림" w:hint="eastAsia"/>
                <w:kern w:val="0"/>
                <w:szCs w:val="20"/>
              </w:rPr>
            </w:pPr>
            <w:r w:rsidRPr="00E63F47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-4.9%</w:t>
            </w:r>
          </w:p>
        </w:tc>
      </w:tr>
    </w:tbl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E63F47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※ 관련 3분기 실적 상세 내용은 아래 링크로 참고 부탁드립니다.</w:t>
      </w:r>
    </w:p>
    <w:p w:rsidR="00E63F47" w:rsidRPr="00E63F47" w:rsidRDefault="00E63F47" w:rsidP="00E63F47">
      <w:pPr>
        <w:widowControl/>
        <w:wordWrap/>
        <w:autoSpaceDE/>
        <w:autoSpaceDN/>
        <w:spacing w:after="0" w:line="240" w:lineRule="auto"/>
        <w:ind w:right="150"/>
        <w:rPr>
          <w:rFonts w:ascii="바탕" w:eastAsia="바탕" w:hAnsi="바탕" w:cs="굴림" w:hint="eastAsia"/>
          <w:color w:val="000000"/>
          <w:kern w:val="0"/>
          <w:szCs w:val="20"/>
        </w:rPr>
      </w:pPr>
      <w:hyperlink r:id="rId4" w:anchor="direct_move" w:tgtFrame="_blank" w:history="1">
        <w:r w:rsidRPr="00E63F47">
          <w:rPr>
            <w:rFonts w:ascii="맑은 고딕" w:eastAsia="맑은 고딕" w:hAnsi="맑은 고딕" w:cs="굴림" w:hint="eastAsia"/>
            <w:color w:val="0000FF"/>
            <w:kern w:val="0"/>
            <w:szCs w:val="20"/>
            <w:u w:val="single"/>
          </w:rPr>
          <w:t>http://www.shinsegae.com/company/ir-ko/ir.do#direct_move</w:t>
        </w:r>
      </w:hyperlink>
    </w:p>
    <w:p w:rsidR="00B707D8" w:rsidRDefault="00B707D8"/>
    <w:sectPr w:rsidR="00B707D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F47"/>
    <w:rsid w:val="00B707D8"/>
    <w:rsid w:val="00E6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2FD417-AC6A-411A-BD80-FA388819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F4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63F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2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hinsegae.com/company/ir-ko/ir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2025-11-10T00:03:00Z</dcterms:created>
  <dcterms:modified xsi:type="dcterms:W3CDTF">2025-11-10T00:04:00Z</dcterms:modified>
</cp:coreProperties>
</file>